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BD" w:rsidRDefault="001327BD">
      <w:pPr>
        <w:pStyle w:val="normal0"/>
        <w:jc w:val="center"/>
        <w:rPr>
          <w:b/>
        </w:rPr>
      </w:pPr>
    </w:p>
    <w:p w:rsidR="001327BD" w:rsidRDefault="007B4E52">
      <w:pPr>
        <w:pStyle w:val="normal0"/>
        <w:numPr>
          <w:ilvl w:val="0"/>
          <w:numId w:val="1"/>
        </w:numPr>
        <w:spacing w:after="0"/>
        <w:rPr>
          <w:b/>
          <w:sz w:val="34"/>
          <w:szCs w:val="34"/>
        </w:rPr>
      </w:pPr>
      <w:bookmarkStart w:id="0" w:name="_1c00r1y7g5cj" w:colFirst="0" w:colLast="0"/>
      <w:bookmarkStart w:id="1" w:name="_yg1282uu8ob" w:colFirst="0" w:colLast="0"/>
      <w:bookmarkEnd w:id="0"/>
      <w:bookmarkEnd w:id="1"/>
      <w:r>
        <w:rPr>
          <w:b/>
          <w:sz w:val="34"/>
          <w:szCs w:val="34"/>
        </w:rPr>
        <w:t>Atividades de Extensão:</w:t>
      </w:r>
    </w:p>
    <w:p w:rsidR="001327BD" w:rsidRDefault="007B4E52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extensão curricular é um conjunto de atividades que complementam a formação dos estudantes, promovendo o desenvolvimento de competências socioemocionais e acadêmicas. Ela também visa levar o conhecimento acadêmico para além da instituição de ensino, beneficiando a comunidade. </w:t>
      </w:r>
    </w:p>
    <w:p w:rsidR="001327BD" w:rsidRDefault="001327BD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</w:p>
    <w:p w:rsidR="001327BD" w:rsidRDefault="007B4E52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extensão curricular é obrigatória em todos os cursos de graduação desde 2023, de acordo com a resolução do CNE Nº 7, de 18 de dezembro de 2018. A avaliação do Ministério da Educação (MEC) considera o currículo dos cursos com a extensão obrigatória, tanto em instituições públicas quanto privadas. </w:t>
      </w:r>
    </w:p>
    <w:p w:rsidR="001327BD" w:rsidRDefault="007B4E52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atividade de extensão foi regulamentada no MPPE pela Instrução Normativa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05/2024-MPPE</w:t>
        </w:r>
      </w:hyperlink>
      <w:r>
        <w:rPr>
          <w:rFonts w:ascii="Arial" w:eastAsia="Arial" w:hAnsi="Arial" w:cs="Arial"/>
          <w:sz w:val="24"/>
          <w:szCs w:val="24"/>
        </w:rPr>
        <w:t>, publicada no Diário Oficial Eletrônico em 01/11/2024.</w:t>
      </w:r>
    </w:p>
    <w:p w:rsidR="001327BD" w:rsidRDefault="001327BD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</w:p>
    <w:p w:rsidR="001327BD" w:rsidRDefault="007B4E52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extensão curricular pode incluir atividades como:</w:t>
      </w:r>
    </w:p>
    <w:p w:rsidR="001327BD" w:rsidRDefault="007B4E52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Congressos, Fóruns, Seminários, Semanas, Exposições, Espetáculos, Eventos.</w:t>
      </w:r>
    </w:p>
    <w:p w:rsidR="001327BD" w:rsidRDefault="001327BD">
      <w:pPr>
        <w:pStyle w:val="normal0"/>
        <w:spacing w:after="0"/>
        <w:rPr>
          <w:rFonts w:ascii="Arial" w:eastAsia="Arial" w:hAnsi="Arial" w:cs="Arial"/>
          <w:sz w:val="24"/>
          <w:szCs w:val="24"/>
        </w:rPr>
      </w:pPr>
    </w:p>
    <w:p w:rsidR="001327BD" w:rsidRDefault="007B4E52">
      <w:pPr>
        <w:pStyle w:val="Ttulo1"/>
        <w:rPr>
          <w:color w:val="0000FF"/>
          <w:sz w:val="34"/>
          <w:szCs w:val="34"/>
        </w:rPr>
      </w:pPr>
      <w:bookmarkStart w:id="2" w:name="_56j791irtkup" w:colFirst="0" w:colLast="0"/>
      <w:bookmarkStart w:id="3" w:name="_vvfa8yh7551w" w:colFirst="0" w:colLast="0"/>
      <w:bookmarkEnd w:id="2"/>
      <w:bookmarkEnd w:id="3"/>
      <w:r>
        <w:rPr>
          <w:color w:val="0000FF"/>
          <w:sz w:val="34"/>
          <w:szCs w:val="34"/>
        </w:rPr>
        <w:t>&gt;&gt; Etapas para o credenciamento de estudantes na Atividade de Extensão:</w:t>
      </w:r>
    </w:p>
    <w:p w:rsidR="00F17F08" w:rsidRDefault="00F17F08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– Confirmar se a Instituição de Ensino Superior é conveniada com o MPPE. </w:t>
      </w:r>
      <w:hyperlink r:id="rId8" w:history="1">
        <w:r w:rsidRPr="00F17F08">
          <w:rPr>
            <w:rStyle w:val="Hyperlink"/>
            <w:rFonts w:ascii="Arial" w:eastAsia="Arial" w:hAnsi="Arial" w:cs="Arial"/>
            <w:sz w:val="24"/>
            <w:szCs w:val="24"/>
          </w:rPr>
          <w:t>Clique aqui</w:t>
        </w:r>
      </w:hyperlink>
      <w:r>
        <w:rPr>
          <w:rFonts w:ascii="Arial" w:eastAsia="Arial" w:hAnsi="Arial" w:cs="Arial"/>
          <w:sz w:val="24"/>
          <w:szCs w:val="24"/>
        </w:rPr>
        <w:t xml:space="preserve"> para a relação das Instituições conveniadas.</w:t>
      </w:r>
    </w:p>
    <w:p w:rsidR="00F17F08" w:rsidRDefault="00F17F08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327BD" w:rsidRDefault="00F17F08">
      <w:pPr>
        <w:pStyle w:val="normal0"/>
        <w:shd w:val="clear" w:color="auto" w:fill="FFFFFF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2</w:t>
      </w:r>
      <w:r w:rsidR="007B4E52">
        <w:rPr>
          <w:rFonts w:ascii="Arial" w:eastAsia="Arial" w:hAnsi="Arial" w:cs="Arial"/>
          <w:sz w:val="24"/>
          <w:szCs w:val="24"/>
        </w:rPr>
        <w:t>- A Unidade Ministerial deve abrir no sistema SEI uma Comunicação Interna (CI) informando que o processo tem a finalidade de solicitar o credenciamento do estudante no programa de atividade de extensão e aproveitar o momento para encaminhar os seguintes documentos relacionados</w:t>
      </w:r>
      <w:r w:rsidR="0058604E">
        <w:rPr>
          <w:rFonts w:ascii="Arial" w:eastAsia="Arial" w:hAnsi="Arial" w:cs="Arial"/>
          <w:sz w:val="24"/>
          <w:szCs w:val="24"/>
        </w:rPr>
        <w:t xml:space="preserve"> abaixo</w:t>
      </w:r>
      <w:r w:rsidR="007B4E52">
        <w:rPr>
          <w:rFonts w:ascii="Arial" w:eastAsia="Arial" w:hAnsi="Arial" w:cs="Arial"/>
          <w:sz w:val="24"/>
          <w:szCs w:val="24"/>
        </w:rPr>
        <w:t>:</w:t>
      </w:r>
    </w:p>
    <w:p w:rsidR="001327BD" w:rsidRDefault="007B4E52">
      <w:pPr>
        <w:pStyle w:val="normal0"/>
        <w:numPr>
          <w:ilvl w:val="0"/>
          <w:numId w:val="7"/>
        </w:numPr>
        <w:shd w:val="clear" w:color="auto" w:fill="FFFFFF"/>
        <w:spacing w:after="0" w:line="240" w:lineRule="auto"/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Termo de Compromisso de Atividades de Extensão (TCAE),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preenchido e assinado pelo estudante para a ESMP, </w:t>
      </w:r>
      <w:r w:rsidR="00941FDE">
        <w:rPr>
          <w:rFonts w:ascii="Arial" w:eastAsia="Arial" w:hAnsi="Arial" w:cs="Arial"/>
          <w:color w:val="222222"/>
          <w:sz w:val="24"/>
          <w:szCs w:val="24"/>
        </w:rPr>
        <w:t xml:space="preserve">por meio </w:t>
      </w:r>
      <w:r>
        <w:rPr>
          <w:rFonts w:ascii="Arial" w:eastAsia="Arial" w:hAnsi="Arial" w:cs="Arial"/>
          <w:color w:val="222222"/>
          <w:sz w:val="24"/>
          <w:szCs w:val="24"/>
        </w:rPr>
        <w:t>do SEI para a GEDIMEST. A Gerência de estágio irá receber o TC</w:t>
      </w:r>
      <w:r w:rsidR="0058604E">
        <w:rPr>
          <w:rFonts w:ascii="Arial" w:eastAsia="Arial" w:hAnsi="Arial" w:cs="Arial"/>
          <w:color w:val="222222"/>
          <w:sz w:val="24"/>
          <w:szCs w:val="24"/>
        </w:rPr>
        <w:t>A</w:t>
      </w:r>
      <w:r>
        <w:rPr>
          <w:rFonts w:ascii="Arial" w:eastAsia="Arial" w:hAnsi="Arial" w:cs="Arial"/>
          <w:color w:val="222222"/>
          <w:sz w:val="24"/>
          <w:szCs w:val="24"/>
        </w:rPr>
        <w:t>E e solicitar a assinatura do Diretor da ESMP c</w:t>
      </w:r>
      <w:r w:rsidR="00941FDE">
        <w:rPr>
          <w:rFonts w:ascii="Arial" w:eastAsia="Arial" w:hAnsi="Arial" w:cs="Arial"/>
          <w:color w:val="222222"/>
          <w:sz w:val="24"/>
          <w:szCs w:val="24"/>
        </w:rPr>
        <w:t xml:space="preserve">omo Concedente </w:t>
      </w:r>
      <w:proofErr w:type="gramStart"/>
      <w:r w:rsidR="00941FDE">
        <w:rPr>
          <w:rFonts w:ascii="Arial" w:eastAsia="Arial" w:hAnsi="Arial" w:cs="Arial"/>
          <w:color w:val="222222"/>
          <w:sz w:val="24"/>
          <w:szCs w:val="24"/>
        </w:rPr>
        <w:t>da atividades</w:t>
      </w:r>
      <w:proofErr w:type="gramEnd"/>
      <w:r w:rsidR="00941FDE">
        <w:rPr>
          <w:rFonts w:ascii="Arial" w:eastAsia="Arial" w:hAnsi="Arial" w:cs="Arial"/>
          <w:color w:val="222222"/>
          <w:sz w:val="24"/>
          <w:szCs w:val="24"/>
        </w:rPr>
        <w:t xml:space="preserve"> do estudante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1327BD" w:rsidRDefault="007B4E52">
      <w:pPr>
        <w:pStyle w:val="normal0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cópia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RG (frente e verso);</w:t>
      </w:r>
    </w:p>
    <w:p w:rsidR="001327BD" w:rsidRDefault="0058604E">
      <w:pPr>
        <w:pStyle w:val="normal0"/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7B4E52">
        <w:rPr>
          <w:rFonts w:ascii="Arial" w:eastAsia="Arial" w:hAnsi="Arial" w:cs="Arial"/>
          <w:sz w:val="24"/>
          <w:szCs w:val="24"/>
        </w:rPr>
        <w:t>cópia</w:t>
      </w:r>
      <w:proofErr w:type="gramEnd"/>
      <w:r w:rsidR="007B4E52">
        <w:rPr>
          <w:rFonts w:ascii="Arial" w:eastAsia="Arial" w:hAnsi="Arial" w:cs="Arial"/>
          <w:sz w:val="24"/>
          <w:szCs w:val="24"/>
        </w:rPr>
        <w:t xml:space="preserve"> do CPF;</w:t>
      </w:r>
    </w:p>
    <w:p w:rsidR="001327BD" w:rsidRDefault="007B4E52">
      <w:pPr>
        <w:pStyle w:val="normal0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cópia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comprovante de quitação com as obrigações militares – se do sexo masculino e maior de 18 anos (ex: cópia da Carteira de Reservista – Dispensa);</w:t>
      </w:r>
    </w:p>
    <w:p w:rsidR="001327BD" w:rsidRDefault="007B4E52">
      <w:pPr>
        <w:pStyle w:val="normal0"/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cópia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Certidão da Justiça Eleitoral – se maior de 18 anos (ex.: certidão emitida pela Justiça Eleitoral na internet); </w:t>
      </w:r>
    </w:p>
    <w:p w:rsidR="001327BD" w:rsidRDefault="007B4E52">
      <w:pPr>
        <w:pStyle w:val="normal0"/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cópia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comprovante de estar matriculado no Curso de Graduação;</w:t>
      </w:r>
    </w:p>
    <w:p w:rsidR="001327BD" w:rsidRDefault="00941FDE">
      <w:pPr>
        <w:pStyle w:val="normal0"/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7B4E52">
        <w:rPr>
          <w:rFonts w:ascii="Arial" w:eastAsia="Arial" w:hAnsi="Arial" w:cs="Arial"/>
          <w:sz w:val="24"/>
          <w:szCs w:val="24"/>
        </w:rPr>
        <w:t>cópia</w:t>
      </w:r>
      <w:proofErr w:type="gramEnd"/>
      <w:r w:rsidR="007B4E52">
        <w:rPr>
          <w:rFonts w:ascii="Arial" w:eastAsia="Arial" w:hAnsi="Arial" w:cs="Arial"/>
          <w:sz w:val="24"/>
          <w:szCs w:val="24"/>
        </w:rPr>
        <w:t xml:space="preserve"> do Atestado de Saúde Ocupacional (ASO) comprovando aptidão clínica para realização d</w:t>
      </w:r>
      <w:r>
        <w:rPr>
          <w:rFonts w:ascii="Arial" w:eastAsia="Arial" w:hAnsi="Arial" w:cs="Arial"/>
          <w:sz w:val="24"/>
          <w:szCs w:val="24"/>
        </w:rPr>
        <w:t>a atividade</w:t>
      </w:r>
      <w:r w:rsidR="007B4E52">
        <w:rPr>
          <w:rFonts w:ascii="Arial" w:eastAsia="Arial" w:hAnsi="Arial" w:cs="Arial"/>
          <w:sz w:val="24"/>
          <w:szCs w:val="24"/>
        </w:rPr>
        <w:t>;</w:t>
      </w:r>
    </w:p>
    <w:p w:rsidR="001327BD" w:rsidRDefault="00941FDE">
      <w:pPr>
        <w:pStyle w:val="normal0"/>
        <w:widowControl w:val="0"/>
        <w:numPr>
          <w:ilvl w:val="0"/>
          <w:numId w:val="7"/>
        </w:numPr>
        <w:tabs>
          <w:tab w:val="left" w:pos="284"/>
          <w:tab w:val="left" w:pos="709"/>
        </w:tabs>
        <w:spacing w:after="0" w:line="240" w:lineRule="auto"/>
        <w:ind w:left="850" w:righ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7B4E52">
        <w:rPr>
          <w:rFonts w:ascii="Arial" w:eastAsia="Arial" w:hAnsi="Arial" w:cs="Arial"/>
          <w:sz w:val="24"/>
          <w:szCs w:val="24"/>
        </w:rPr>
        <w:t>cópia</w:t>
      </w:r>
      <w:proofErr w:type="gramEnd"/>
      <w:r w:rsidR="007B4E52">
        <w:rPr>
          <w:rFonts w:ascii="Arial" w:eastAsia="Arial" w:hAnsi="Arial" w:cs="Arial"/>
          <w:sz w:val="24"/>
          <w:szCs w:val="24"/>
        </w:rPr>
        <w:t xml:space="preserve"> do comprovante de residência atual;</w:t>
      </w:r>
    </w:p>
    <w:p w:rsidR="001327BD" w:rsidRDefault="001327BD">
      <w:pPr>
        <w:pStyle w:val="normal0"/>
        <w:shd w:val="clear" w:color="auto" w:fill="FFFFFF"/>
        <w:spacing w:after="0" w:line="240" w:lineRule="auto"/>
        <w:ind w:left="850" w:hanging="360"/>
        <w:jc w:val="both"/>
      </w:pPr>
    </w:p>
    <w:p w:rsidR="001327BD" w:rsidRDefault="007B4E52">
      <w:pPr>
        <w:pStyle w:val="normal0"/>
        <w:shd w:val="clear" w:color="auto" w:fill="FFFFFF"/>
        <w:spacing w:after="0" w:line="240" w:lineRule="auto"/>
        <w:ind w:left="28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Obs</w:t>
      </w:r>
      <w:proofErr w:type="spellEnd"/>
      <w:r>
        <w:rPr>
          <w:rFonts w:ascii="Arial" w:eastAsia="Arial" w:hAnsi="Arial" w:cs="Arial"/>
          <w:sz w:val="24"/>
          <w:szCs w:val="24"/>
        </w:rPr>
        <w:t>: TCAE deve ser assinado na seguinte ordem:</w:t>
      </w:r>
    </w:p>
    <w:p w:rsidR="001327BD" w:rsidRDefault="007B4E52">
      <w:pPr>
        <w:pStyle w:val="normal0"/>
        <w:numPr>
          <w:ilvl w:val="0"/>
          <w:numId w:val="6"/>
        </w:numPr>
        <w:shd w:val="clear" w:color="auto" w:fill="FFFFFF"/>
        <w:spacing w:after="0" w:line="240" w:lineRule="auto"/>
        <w:ind w:left="1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Estudante (E</w:t>
      </w:r>
      <w:r w:rsidR="00497E9E">
        <w:rPr>
          <w:rFonts w:ascii="Arial" w:eastAsia="Arial" w:hAnsi="Arial" w:cs="Arial"/>
          <w:sz w:val="24"/>
          <w:szCs w:val="24"/>
        </w:rPr>
        <w:t>extensionista</w:t>
      </w:r>
      <w:r>
        <w:rPr>
          <w:rFonts w:ascii="Arial" w:eastAsia="Arial" w:hAnsi="Arial" w:cs="Arial"/>
          <w:sz w:val="24"/>
          <w:szCs w:val="24"/>
        </w:rPr>
        <w:t>);</w:t>
      </w:r>
    </w:p>
    <w:p w:rsidR="001327BD" w:rsidRDefault="007B4E52">
      <w:pPr>
        <w:pStyle w:val="normal0"/>
        <w:numPr>
          <w:ilvl w:val="0"/>
          <w:numId w:val="6"/>
        </w:numPr>
        <w:shd w:val="clear" w:color="auto" w:fill="FFFFFF"/>
        <w:spacing w:after="0" w:line="240" w:lineRule="auto"/>
        <w:ind w:left="1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da ESMP (Concedente);</w:t>
      </w:r>
    </w:p>
    <w:p w:rsidR="001327BD" w:rsidRDefault="007B4E52">
      <w:pPr>
        <w:pStyle w:val="normal0"/>
        <w:numPr>
          <w:ilvl w:val="0"/>
          <w:numId w:val="6"/>
        </w:numPr>
        <w:shd w:val="clear" w:color="auto" w:fill="FFFFFF"/>
        <w:spacing w:after="0" w:line="240" w:lineRule="auto"/>
        <w:ind w:left="1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Instituição de Ensino Superior (Interveniente)</w:t>
      </w:r>
    </w:p>
    <w:p w:rsidR="001327BD" w:rsidRDefault="001327BD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327BD" w:rsidRDefault="007B4E52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Segue o link para baixar 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Modelo de TCAE </w:t>
      </w:r>
      <w:hyperlink r:id="rId9" w:history="1">
        <w:r w:rsidR="00463D40" w:rsidRPr="00463D40">
          <w:rPr>
            <w:rStyle w:val="Hyperlink"/>
            <w:rFonts w:ascii="Arial" w:eastAsia="Arial" w:hAnsi="Arial" w:cs="Arial"/>
            <w:sz w:val="24"/>
            <w:szCs w:val="24"/>
          </w:rPr>
          <w:t>CLIQUE AQUI</w:t>
        </w:r>
      </w:hyperlink>
    </w:p>
    <w:p w:rsidR="001327BD" w:rsidRDefault="001327BD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1327BD" w:rsidRDefault="001327BD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1327BD" w:rsidRDefault="007B4E52">
      <w:pPr>
        <w:pStyle w:val="normal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Nota: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A) estudante também deve preencher assinar o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TERMO DE COMPROMISSO DE MANUTENÇÃO DE SIGILO (TCMS) e o TERMO DE CONSENTIMENTOS PARA TRATAMENTO DE DADOS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que seguem anexos junto ao  TCAE (no mesmo arquivo) e podem ser encontrados no link abaixo no site da ESMP.</w:t>
      </w:r>
    </w:p>
    <w:p w:rsidR="001327BD" w:rsidRDefault="001327BD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1327BD" w:rsidRDefault="00AE23EC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2</w:t>
      </w:r>
      <w:r w:rsidR="007B4E52">
        <w:rPr>
          <w:rFonts w:ascii="Arial" w:eastAsia="Arial" w:hAnsi="Arial" w:cs="Arial"/>
          <w:color w:val="222222"/>
          <w:sz w:val="24"/>
          <w:szCs w:val="24"/>
        </w:rPr>
        <w:t>- Depois de finalizado todo o processo das assinaturas no TCAE e anexado</w:t>
      </w:r>
      <w:r w:rsidR="0058604E">
        <w:rPr>
          <w:rFonts w:ascii="Arial" w:eastAsia="Arial" w:hAnsi="Arial" w:cs="Arial"/>
          <w:color w:val="222222"/>
          <w:sz w:val="24"/>
          <w:szCs w:val="24"/>
        </w:rPr>
        <w:t>s</w:t>
      </w:r>
      <w:r w:rsidR="007B4E52">
        <w:rPr>
          <w:rFonts w:ascii="Arial" w:eastAsia="Arial" w:hAnsi="Arial" w:cs="Arial"/>
          <w:color w:val="222222"/>
          <w:sz w:val="24"/>
          <w:szCs w:val="24"/>
        </w:rPr>
        <w:t xml:space="preserve"> todos os documentos, a Promotoria de Justiça ou a Unidade Ministerial deve </w:t>
      </w:r>
      <w:r w:rsidR="007B4E52">
        <w:rPr>
          <w:rFonts w:ascii="Arial" w:eastAsia="Arial" w:hAnsi="Arial" w:cs="Arial"/>
          <w:color w:val="FF0000"/>
          <w:sz w:val="24"/>
          <w:szCs w:val="24"/>
        </w:rPr>
        <w:t xml:space="preserve">enviar </w:t>
      </w:r>
      <w:r w:rsidR="0058604E">
        <w:rPr>
          <w:rFonts w:ascii="Arial" w:eastAsia="Arial" w:hAnsi="Arial" w:cs="Arial"/>
          <w:color w:val="FF0000"/>
          <w:sz w:val="24"/>
          <w:szCs w:val="24"/>
        </w:rPr>
        <w:t xml:space="preserve">definitivamente </w:t>
      </w:r>
      <w:r w:rsidR="007B4E52">
        <w:rPr>
          <w:rFonts w:ascii="Arial" w:eastAsia="Arial" w:hAnsi="Arial" w:cs="Arial"/>
          <w:color w:val="FF0000"/>
          <w:sz w:val="24"/>
          <w:szCs w:val="24"/>
        </w:rPr>
        <w:t>para a GEDIMEST,</w:t>
      </w:r>
      <w:r w:rsidR="007B4E52">
        <w:rPr>
          <w:rFonts w:ascii="Arial" w:eastAsia="Arial" w:hAnsi="Arial" w:cs="Arial"/>
          <w:sz w:val="24"/>
          <w:szCs w:val="24"/>
        </w:rPr>
        <w:t xml:space="preserve"> o processo</w:t>
      </w:r>
      <w:proofErr w:type="gramStart"/>
      <w:r w:rsidR="007B4E52">
        <w:rPr>
          <w:rFonts w:ascii="Arial" w:eastAsia="Arial" w:hAnsi="Arial" w:cs="Arial"/>
          <w:sz w:val="24"/>
          <w:szCs w:val="24"/>
        </w:rPr>
        <w:t xml:space="preserve"> </w:t>
      </w:r>
      <w:r w:rsidR="007B4E52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gramEnd"/>
      <w:r w:rsidR="007B4E52">
        <w:rPr>
          <w:rFonts w:ascii="Arial" w:eastAsia="Arial" w:hAnsi="Arial" w:cs="Arial"/>
          <w:color w:val="222222"/>
          <w:sz w:val="24"/>
          <w:szCs w:val="24"/>
        </w:rPr>
        <w:t>para que possibilite a confirmação do credenciamento do estudantes no programa de estágio obrigatório do MPPE e possam ser executados os seguintes procedimentos:</w:t>
      </w:r>
    </w:p>
    <w:p w:rsidR="0058604E" w:rsidRDefault="0058604E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1327BD" w:rsidRDefault="007B4E52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cadastro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do estudante e criação da matrícula no Sistema MENTORH;</w:t>
      </w:r>
    </w:p>
    <w:p w:rsidR="001327BD" w:rsidRDefault="007B4E52">
      <w:pPr>
        <w:pStyle w:val="normal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inclusão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do estudante na planilha do Portal da Transparência do MPPE.</w:t>
      </w:r>
    </w:p>
    <w:p w:rsidR="00AE23EC" w:rsidRDefault="00AE23EC" w:rsidP="00AE23EC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AE23EC" w:rsidRDefault="00AE23EC" w:rsidP="00AE23EC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AE23EC" w:rsidRDefault="00AE23EC" w:rsidP="00AE23EC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3- Dúvidas podem ser esclarecidas por meio do e-mail </w:t>
      </w:r>
      <w:hyperlink r:id="rId10" w:history="1">
        <w:r w:rsidRPr="00B407EA">
          <w:rPr>
            <w:rStyle w:val="Hyperlink"/>
            <w:rFonts w:ascii="Arial" w:eastAsia="Arial" w:hAnsi="Arial" w:cs="Arial"/>
            <w:sz w:val="24"/>
            <w:szCs w:val="24"/>
          </w:rPr>
          <w:t>estagio@mppe.mp.br</w:t>
        </w:r>
      </w:hyperlink>
      <w:r>
        <w:rPr>
          <w:rFonts w:ascii="Arial" w:eastAsia="Arial" w:hAnsi="Arial" w:cs="Arial"/>
          <w:color w:val="222222"/>
          <w:sz w:val="24"/>
          <w:szCs w:val="24"/>
        </w:rPr>
        <w:t xml:space="preserve"> e telefone 9.9200-0100. </w:t>
      </w:r>
    </w:p>
    <w:p w:rsidR="001327BD" w:rsidRDefault="001327BD">
      <w:pPr>
        <w:pStyle w:val="normal0"/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1327BD" w:rsidRDefault="001327BD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wpyetg39zv44" w:colFirst="0" w:colLast="0"/>
      <w:bookmarkEnd w:id="4"/>
    </w:p>
    <w:p w:rsidR="001327BD" w:rsidRDefault="001327BD">
      <w:pPr>
        <w:pStyle w:val="normal0"/>
        <w:spacing w:after="0" w:line="240" w:lineRule="auto"/>
        <w:jc w:val="both"/>
      </w:pPr>
    </w:p>
    <w:p w:rsidR="001327BD" w:rsidRDefault="001327B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sectPr w:rsidR="001327BD" w:rsidSect="001327BD">
      <w:headerReference w:type="default" r:id="rId11"/>
      <w:pgSz w:w="11906" w:h="16838"/>
      <w:pgMar w:top="709" w:right="707" w:bottom="709" w:left="567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97" w:rsidRDefault="00D90797" w:rsidP="00AE23EC">
      <w:pPr>
        <w:spacing w:after="0" w:line="240" w:lineRule="auto"/>
      </w:pPr>
      <w:r>
        <w:separator/>
      </w:r>
    </w:p>
  </w:endnote>
  <w:endnote w:type="continuationSeparator" w:id="0">
    <w:p w:rsidR="00D90797" w:rsidRDefault="00D90797" w:rsidP="00A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ranq eco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97" w:rsidRDefault="00D90797" w:rsidP="00AE23EC">
      <w:pPr>
        <w:spacing w:after="0" w:line="240" w:lineRule="auto"/>
      </w:pPr>
      <w:r>
        <w:separator/>
      </w:r>
    </w:p>
  </w:footnote>
  <w:footnote w:type="continuationSeparator" w:id="0">
    <w:p w:rsidR="00D90797" w:rsidRDefault="00D90797" w:rsidP="00AE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EC" w:rsidRDefault="00AE23EC" w:rsidP="00AE23EC">
    <w:pPr>
      <w:pStyle w:val="normal0"/>
      <w:jc w:val="center"/>
      <w:rPr>
        <w:b/>
      </w:rPr>
    </w:pPr>
  </w:p>
  <w:p w:rsidR="00AE23EC" w:rsidRDefault="00AE23EC" w:rsidP="00AE23EC">
    <w:pPr>
      <w:pStyle w:val="normal0"/>
      <w:jc w:val="center"/>
      <w:rPr>
        <w:b/>
      </w:rPr>
    </w:pPr>
    <w:r w:rsidRPr="00AE23EC">
      <w:rPr>
        <w:b/>
        <w:noProof/>
      </w:rPr>
      <w:drawing>
        <wp:inline distT="0" distB="0" distL="114300" distR="114300">
          <wp:extent cx="819150" cy="771525"/>
          <wp:effectExtent l="1905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23EC" w:rsidRDefault="00AE23EC" w:rsidP="00AE23EC">
    <w:pPr>
      <w:pStyle w:val="normal0"/>
      <w:jc w:val="center"/>
      <w:rPr>
        <w:b/>
      </w:rPr>
    </w:pPr>
    <w:r>
      <w:rPr>
        <w:b/>
      </w:rPr>
      <w:t>ESCOLA SUPERIOR DO MINISTÉRIO ÚBLICO</w:t>
    </w:r>
  </w:p>
  <w:p w:rsidR="00AE23EC" w:rsidRDefault="00AE23EC" w:rsidP="00AE23EC">
    <w:pPr>
      <w:pStyle w:val="normal0"/>
      <w:jc w:val="center"/>
    </w:pPr>
    <w:r>
      <w:rPr>
        <w:b/>
      </w:rPr>
      <w:t>GERÊNCIA DE DIVISÃO MINISTERIAL DE ESTÁGIO</w:t>
    </w:r>
  </w:p>
  <w:p w:rsidR="00AE23EC" w:rsidRDefault="00AE23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D7C"/>
    <w:multiLevelType w:val="multilevel"/>
    <w:tmpl w:val="6DE08D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5EE219F"/>
    <w:multiLevelType w:val="multilevel"/>
    <w:tmpl w:val="140A0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nsid w:val="29042C13"/>
    <w:multiLevelType w:val="multilevel"/>
    <w:tmpl w:val="0C569A4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29E743E1"/>
    <w:multiLevelType w:val="multilevel"/>
    <w:tmpl w:val="B9380C3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>
    <w:nsid w:val="327E3601"/>
    <w:multiLevelType w:val="multilevel"/>
    <w:tmpl w:val="2954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>
    <w:nsid w:val="42D51EC5"/>
    <w:multiLevelType w:val="multilevel"/>
    <w:tmpl w:val="4A1472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5B57CA1"/>
    <w:multiLevelType w:val="multilevel"/>
    <w:tmpl w:val="FF82C0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nsid w:val="78A40FAD"/>
    <w:multiLevelType w:val="multilevel"/>
    <w:tmpl w:val="86607A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F355C89"/>
    <w:multiLevelType w:val="multilevel"/>
    <w:tmpl w:val="74F4224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27BD"/>
    <w:rsid w:val="00065078"/>
    <w:rsid w:val="001327BD"/>
    <w:rsid w:val="002B43A3"/>
    <w:rsid w:val="002E35FE"/>
    <w:rsid w:val="0042403F"/>
    <w:rsid w:val="004401FD"/>
    <w:rsid w:val="00463D40"/>
    <w:rsid w:val="00494904"/>
    <w:rsid w:val="00497E9E"/>
    <w:rsid w:val="0058604E"/>
    <w:rsid w:val="007B4E52"/>
    <w:rsid w:val="00941FDE"/>
    <w:rsid w:val="00961FE7"/>
    <w:rsid w:val="00AE23EC"/>
    <w:rsid w:val="00D90797"/>
    <w:rsid w:val="00F1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FD"/>
  </w:style>
  <w:style w:type="paragraph" w:styleId="Ttulo1">
    <w:name w:val="heading 1"/>
    <w:basedOn w:val="normal0"/>
    <w:next w:val="normal0"/>
    <w:rsid w:val="001327B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1327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1327BD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rsid w:val="001327B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1327B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1327B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27BD"/>
  </w:style>
  <w:style w:type="table" w:customStyle="1" w:styleId="TableNormal">
    <w:name w:val="Table Normal"/>
    <w:rsid w:val="00132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27BD"/>
    <w:pPr>
      <w:keepNext/>
      <w:spacing w:before="240" w:after="120"/>
    </w:pPr>
    <w:rPr>
      <w:rFonts w:ascii="Spranq eco sans" w:eastAsia="Spranq eco sans" w:hAnsi="Spranq eco sans" w:cs="Spranq eco sans"/>
      <w:sz w:val="28"/>
      <w:szCs w:val="28"/>
    </w:rPr>
  </w:style>
  <w:style w:type="paragraph" w:styleId="Subttulo">
    <w:name w:val="Subtitle"/>
    <w:basedOn w:val="normal0"/>
    <w:next w:val="normal0"/>
    <w:rsid w:val="00132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0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63D4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AE2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23EC"/>
  </w:style>
  <w:style w:type="paragraph" w:styleId="Rodap">
    <w:name w:val="footer"/>
    <w:basedOn w:val="Normal"/>
    <w:link w:val="RodapChar"/>
    <w:uiPriority w:val="99"/>
    <w:semiHidden/>
    <w:unhideWhenUsed/>
    <w:rsid w:val="00AE2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23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ppe.mp.br/documents/d/guest/instituicoes-de-ensino-conveniadas-com-mppe-4?downloa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mppe.mp.br/documents/d/guest/instrucao-normativa-05-2024-mppe-programa-de-extensao?downloa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tagio@mppe.m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ppe.mp.br/documents/d/guest/modelo-termo-compromisso-atividade-extensionista-tcae-1?downloa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de Oliveira e Silva</dc:creator>
  <cp:lastModifiedBy>hsilva</cp:lastModifiedBy>
  <cp:revision>4</cp:revision>
  <dcterms:created xsi:type="dcterms:W3CDTF">2024-11-29T11:02:00Z</dcterms:created>
  <dcterms:modified xsi:type="dcterms:W3CDTF">2024-11-29T11:10:00Z</dcterms:modified>
</cp:coreProperties>
</file>