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</w:pPr>
      <w:bookmarkStart w:id="0" w:name="__DdeLink__246_1057023611"/>
      <w:bookmarkEnd w:id="0"/>
      <w:r>
        <w:rPr>
          <w:rFonts w:ascii="Arial" w:cs="Arial" w:eastAsia="Times New Roman" w:hAnsi="Arial"/>
          <w:b/>
          <w:i/>
          <w:sz w:val="24"/>
          <w:szCs w:val="24"/>
          <w:lang w:eastAsia="pt-BR"/>
        </w:rPr>
        <w:t xml:space="preserve">2º Seminário Regional “Direitos da Criança e do Adolescente e a Promoção da Igualdade Racial”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eastAsia="Times New Roman" w:hAnsi="Arial"/>
          <w:b/>
          <w:i/>
          <w:color w:val="000000"/>
          <w:sz w:val="24"/>
          <w:szCs w:val="24"/>
          <w:lang w:eastAsia="pt-BR"/>
        </w:rPr>
        <w:t>Recife/PE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sz w:val="24"/>
          <w:szCs w:val="24"/>
          <w:lang w:eastAsia="pt-BR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sz w:val="24"/>
          <w:szCs w:val="24"/>
          <w:lang w:eastAsia="pt-BR"/>
        </w:rPr>
        <w:t>Data: 20 de agosto de 2015</w:t>
      </w:r>
    </w:p>
    <w:p>
      <w:pPr>
        <w:pStyle w:val="style38"/>
      </w:pPr>
      <w:r>
        <w:rPr>
          <w:rFonts w:ascii="Arial" w:cs="Arial" w:eastAsia="Times New Roman" w:hAnsi="Arial"/>
          <w:sz w:val="24"/>
          <w:szCs w:val="24"/>
          <w:lang w:eastAsia="pt-BR"/>
        </w:rPr>
        <w:t xml:space="preserve">Local: </w:t>
      </w:r>
      <w:r>
        <w:rPr>
          <w:rFonts w:ascii="Arial" w:cs="Arial" w:eastAsia="Times New Roman" w:hAnsi="Arial"/>
          <w:b/>
          <w:sz w:val="24"/>
          <w:szCs w:val="24"/>
          <w:lang w:eastAsia="pt-BR"/>
        </w:rPr>
        <w:t xml:space="preserve">Auditório do Ministério Público Federal </w:t>
      </w:r>
      <w:r>
        <w:rPr>
          <w:rFonts w:ascii="Arial" w:cs="Arial" w:hAnsi="Arial"/>
          <w:b/>
          <w:sz w:val="24"/>
          <w:szCs w:val="24"/>
        </w:rPr>
        <w:t>Procuradoria da República de Pernambuco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Endereço: Av. Gov. Agamenon Magalhães, 1800 - Espinheiro, Recife - PE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>Horário: 8h as 13h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>Público: Profissionais do Sistema de Direitos da Criança e Adolescente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 xml:space="preserve">Período inscrição: 20 Julho a 18 de Agosto de 2015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>(www.ceert.org.br/crianca-adolescente)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</w:r>
    </w:p>
    <w:p>
      <w:pPr>
        <w:pStyle w:val="style0"/>
        <w:spacing w:after="120" w:before="28" w:line="100" w:lineRule="atLeast"/>
        <w:contextualSpacing w:val="false"/>
        <w:jc w:val="center"/>
      </w:pP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  <w:t>PROGRAMAÇÃO</w:t>
      </w:r>
    </w:p>
    <w:p>
      <w:pPr>
        <w:pStyle w:val="style0"/>
        <w:spacing w:after="120" w:before="28" w:line="100" w:lineRule="atLeast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>8h00–9h00 – Recepção dos participantes</w:t>
      </w:r>
    </w:p>
    <w:p>
      <w:pPr>
        <w:pStyle w:val="style0"/>
        <w:spacing w:after="120" w:before="28" w:line="100" w:lineRule="atLeast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>9h00–10h30 – Mesa Solene de Abertura</w:t>
      </w:r>
    </w:p>
    <w:p>
      <w:pPr>
        <w:pStyle w:val="style35"/>
      </w:pPr>
      <w:r>
        <w:rPr>
          <w:rFonts w:ascii="Arial" w:cs="Arial" w:hAnsi="Arial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i/>
          <w:sz w:val="24"/>
          <w:szCs w:val="24"/>
        </w:rPr>
        <w:t>Dr. Carlos Augusto Arruda Guerra de Holanda</w:t>
      </w:r>
      <w:r>
        <w:rPr>
          <w:rFonts w:ascii="Arial" w:cs="Arial" w:hAnsi="Arial"/>
          <w:sz w:val="24"/>
          <w:szCs w:val="24"/>
        </w:rPr>
        <w:t xml:space="preserve"> - Procurador Geral de Justiça do Ministério Público de Pernambuco (MPPE)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36"/>
      </w:pPr>
      <w:r>
        <w:rPr>
          <w:rFonts w:eastAsia="Times New Roman"/>
          <w:i/>
          <w:lang w:eastAsia="pt-BR"/>
        </w:rPr>
        <w:t>Dr. Hédio Silva Jr</w:t>
      </w:r>
      <w:r>
        <w:rPr>
          <w:rFonts w:eastAsia="Times New Roman"/>
          <w:lang w:eastAsia="pt-BR"/>
        </w:rPr>
        <w:t xml:space="preserve">., </w:t>
      </w:r>
      <w:r>
        <w:rPr/>
        <w:t xml:space="preserve">Advogado, </w:t>
      </w:r>
      <w:r>
        <w:rPr>
          <w:rFonts w:eastAsia="Times New Roman"/>
          <w:lang w:eastAsia="pt-BR"/>
        </w:rPr>
        <w:t xml:space="preserve">Coordenador do Projeto – Centro de Estudos das Relações de Trabalho e Desigualdades (CEERT)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i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i/>
          <w:sz w:val="24"/>
          <w:szCs w:val="24"/>
        </w:rPr>
        <w:t xml:space="preserve">Dr. Daniel Teixeira, </w:t>
      </w:r>
      <w:r>
        <w:rPr>
          <w:rFonts w:ascii="Arial" w:cs="Arial" w:hAnsi="Arial"/>
          <w:sz w:val="24"/>
          <w:szCs w:val="24"/>
        </w:rPr>
        <w:t>Advogado, Coordenador de Projetos – Centro de Estudos das Relações de Trabalho e Desigualdades (CEERT)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i/>
          <w:sz w:val="24"/>
          <w:szCs w:val="24"/>
        </w:rPr>
        <w:t>Sra. Márcia Chagas</w:t>
      </w:r>
      <w:r>
        <w:rPr>
          <w:rFonts w:ascii="Arial" w:cs="Arial" w:hAnsi="Arial"/>
          <w:sz w:val="24"/>
          <w:szCs w:val="24"/>
        </w:rPr>
        <w:t>, Gestora de Projetos da Petrobras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Representante da OAB/PE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Representante da UNICEF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Representante do CONANDA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Desembargador Federico Ricardo de Almeida Neves – (TJPE)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2"/>
        <w:numPr>
          <w:ilvl w:val="1"/>
          <w:numId w:val="1"/>
        </w:numPr>
        <w:shd w:fill="FFFFFF" w:val="clear"/>
        <w:spacing w:after="0" w:before="0" w:line="100" w:lineRule="atLeast"/>
        <w:contextualSpacing w:val="false"/>
        <w:textAlignment w:val="center"/>
      </w:pPr>
      <w:r>
        <w:rPr>
          <w:rFonts w:ascii="Arial" w:cs="Arial" w:hAnsi="Arial"/>
          <w:color w:val="00000A"/>
          <w:sz w:val="24"/>
          <w:szCs w:val="24"/>
        </w:rPr>
        <w:t>Representante do Conselho Municipal de Defesa dos Direitos da Criança e do Adolescente do Recife  (COMDICA/PE)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Representante do Conselho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 </w:t>
      </w:r>
      <w:r>
        <w:rPr>
          <w:rFonts w:ascii="Arial" w:cs="Arial" w:hAnsi="Arial"/>
          <w:sz w:val="24"/>
          <w:szCs w:val="24"/>
          <w:shd w:fill="FFFFFF" w:val="clear"/>
        </w:rPr>
        <w:t>Estadual de Defesa dos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 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Direitos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 </w:t>
      </w:r>
      <w:r>
        <w:rPr>
          <w:rFonts w:ascii="Arial" w:cs="Arial" w:hAnsi="Arial"/>
          <w:sz w:val="24"/>
          <w:szCs w:val="24"/>
          <w:shd w:fill="FFFFFF" w:val="clear"/>
        </w:rPr>
        <w:t>da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 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Criança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 </w:t>
      </w:r>
      <w:r>
        <w:rPr>
          <w:rFonts w:ascii="Arial" w:cs="Arial" w:hAnsi="Arial"/>
          <w:sz w:val="24"/>
          <w:szCs w:val="24"/>
          <w:shd w:fill="FFFFFF" w:val="clear"/>
        </w:rPr>
        <w:t xml:space="preserve">e do 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 xml:space="preserve">Adolescente </w:t>
      </w:r>
      <w:r>
        <w:rPr>
          <w:rStyle w:val="style18"/>
          <w:rFonts w:ascii="Arial" w:cs="Arial" w:hAnsi="Arial"/>
          <w:sz w:val="24"/>
          <w:szCs w:val="24"/>
          <w:shd w:fill="FFFFFF" w:val="clear"/>
        </w:rPr>
        <w:t>(</w:t>
      </w:r>
      <w:r>
        <w:rPr>
          <w:rFonts w:ascii="Arial" w:cs="Arial" w:hAnsi="Arial"/>
          <w:sz w:val="24"/>
          <w:szCs w:val="24"/>
          <w:shd w:fill="FFFFFF" w:val="clear"/>
        </w:rPr>
        <w:t>CEDCA/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PE)</w:t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Sra. Josiane Gomes Soares - Conselho Federal de Psicologia (CPF)</w:t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</w:pPr>
      <w:r>
        <w:rPr>
          <w:rFonts w:ascii="Arial" w:cs="Arial" w:eastAsia="Times New Roman" w:hAnsi="Arial"/>
          <w:sz w:val="24"/>
          <w:szCs w:val="24"/>
        </w:rPr>
        <w:t xml:space="preserve">Sra. Paula Fonsêca - 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Conselho Regional de Psicologia – (CRP 2ª região/PE)</w:t>
      </w:r>
    </w:p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 xml:space="preserve">Representante da </w:t>
      </w:r>
      <w:r>
        <w:rPr>
          <w:rFonts w:ascii="Arial" w:cs="Arial" w:hAnsi="Arial"/>
          <w:color w:val="000000"/>
          <w:sz w:val="24"/>
          <w:szCs w:val="24"/>
        </w:rPr>
        <w:t>Fundação Joaquim Nabuco (</w:t>
      </w:r>
      <w:r>
        <w:rPr>
          <w:rStyle w:val="style17"/>
          <w:rFonts w:ascii="Arial" w:cs="Arial" w:hAnsi="Arial"/>
          <w:bCs/>
          <w:i w:val="false"/>
          <w:iCs w:val="false"/>
          <w:sz w:val="24"/>
          <w:szCs w:val="24"/>
          <w:shd w:fill="FFFFFF" w:val="clear"/>
        </w:rPr>
        <w:t>FUNDAJ)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sz w:val="24"/>
          <w:szCs w:val="24"/>
          <w:lang w:eastAsia="pt-BR"/>
        </w:rPr>
        <w:t>Representante do Observatório Negro de Pernambuco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 xml:space="preserve">10h30 – 11h30 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 xml:space="preserve">Mesa Temática I – </w:t>
      </w:r>
      <w:r>
        <w:rPr>
          <w:rFonts w:ascii="Arial" w:cs="Arial" w:eastAsia="Times New Roman" w:hAnsi="Arial"/>
          <w:b/>
          <w:i/>
          <w:sz w:val="24"/>
          <w:szCs w:val="24"/>
          <w:lang w:eastAsia="pt-BR"/>
        </w:rPr>
        <w:t>“Discriminação racial: sinônimo de maus-tratos – ECA”</w:t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>Objetivo:</w:t>
      </w:r>
      <w:r>
        <w:rPr>
          <w:rFonts w:ascii="Arial" w:cs="Arial" w:eastAsia="Times New Roman" w:hAnsi="Arial"/>
          <w:sz w:val="24"/>
          <w:szCs w:val="24"/>
          <w:lang w:eastAsia="pt-BR"/>
        </w:rPr>
        <w:t xml:space="preserve"> Discutir sobre</w:t>
      </w:r>
      <w:r>
        <w:rPr>
          <w:rFonts w:ascii="Arial" w:cs="Arial" w:hAnsi="Arial"/>
          <w:sz w:val="24"/>
          <w:szCs w:val="24"/>
        </w:rPr>
        <w:t xml:space="preserve"> a normativa jurídica da qual a criança deve ser protegida de toda e qualquer forma de discriminação, do que decorre o compromisso de enfrentamento da discriminação e promoção da igualdade racial.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 xml:space="preserve">Dra. </w:t>
      </w:r>
      <w:r>
        <w:rPr>
          <w:rFonts w:ascii="Arial" w:cs="Arial" w:hAnsi="Arial"/>
          <w:sz w:val="24"/>
          <w:szCs w:val="24"/>
        </w:rPr>
        <w:t>Maria Bernadete Figueiroa – Procuradora de Justiça; Coordenadora do GT Racismo do Ministério Público de Pernambuco</w:t>
      </w:r>
    </w:p>
    <w:p>
      <w:pPr>
        <w:pStyle w:val="style36"/>
      </w:pPr>
      <w:r>
        <w:rPr>
          <w:rFonts w:eastAsia="Times New Roman"/>
          <w:lang w:eastAsia="pt-BR"/>
        </w:rPr>
        <w:t xml:space="preserve">Dr. Hédio Silva Jr. – </w:t>
      </w:r>
      <w:r>
        <w:rPr/>
        <w:t xml:space="preserve">Advogado, Mestre em Direito Processual Penal e Doutor em Direito Constitucional pela PUC-SP, </w:t>
      </w:r>
      <w:r>
        <w:rPr>
          <w:rFonts w:eastAsia="Times New Roman"/>
          <w:lang w:eastAsia="pt-BR"/>
        </w:rPr>
        <w:t xml:space="preserve">Coordenador do Projeto – Centro de Estudos das Relações de Trabalho e Desigualdades (CEERT) 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  <w:t>Plenária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  <w:t xml:space="preserve">11h30 – 12h30 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 xml:space="preserve">Mesa </w:t>
      </w: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  <w:t xml:space="preserve">Temática II – “Propostas para abordagem e inclusão da discriminação racial nas notificações de maus-tratos” </w:t>
      </w:r>
    </w:p>
    <w:p>
      <w:pPr>
        <w:pStyle w:val="style0"/>
        <w:spacing w:after="28" w:before="28" w:line="100" w:lineRule="atLeast"/>
        <w:contextualSpacing w:val="false"/>
        <w:jc w:val="both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 xml:space="preserve">Objetivo: </w:t>
      </w:r>
      <w:r>
        <w:rPr>
          <w:rFonts w:ascii="Arial" w:cs="Arial" w:eastAsia="Times New Roman" w:hAnsi="Arial"/>
          <w:sz w:val="24"/>
          <w:szCs w:val="24"/>
          <w:lang w:eastAsia="pt-BR"/>
        </w:rPr>
        <w:t>C</w:t>
      </w:r>
      <w:r>
        <w:rPr>
          <w:rFonts w:ascii="Arial" w:cs="Arial" w:hAnsi="Arial"/>
          <w:sz w:val="24"/>
          <w:szCs w:val="24"/>
        </w:rPr>
        <w:t>ontribuir para o fortalecimento da atuação dos conselheiros tutelares e demais atores do sistema de garantia de direitos de crianças e adolescentes em suas</w:t>
      </w:r>
      <w:r>
        <w:rPr>
          <w:rFonts w:ascii="Arial" w:cs="Arial" w:hAnsi="Arial"/>
          <w:bCs/>
          <w:sz w:val="24"/>
          <w:szCs w:val="24"/>
        </w:rPr>
        <w:t xml:space="preserve"> práticas de atendimentos que envolvam crianças negras.</w:t>
      </w:r>
    </w:p>
    <w:p>
      <w:pPr>
        <w:pStyle w:val="style0"/>
        <w:spacing w:after="65" w:before="0"/>
        <w:contextualSpacing w:val="false"/>
      </w:pPr>
      <w:r>
        <w:rPr>
          <w:rFonts w:ascii="Arial" w:cs="Arial" w:eastAsia="Times New Roman" w:hAnsi="Arial"/>
          <w:color w:val="000000"/>
          <w:sz w:val="24"/>
          <w:szCs w:val="24"/>
          <w:lang w:eastAsia="pt-BR"/>
        </w:rPr>
        <w:t xml:space="preserve">Dr. Daniel Teixeira – </w:t>
      </w:r>
      <w:r>
        <w:rPr>
          <w:rFonts w:ascii="Arial" w:cs="Arial" w:hAnsi="Arial"/>
          <w:sz w:val="24"/>
          <w:szCs w:val="24"/>
        </w:rPr>
        <w:t xml:space="preserve">Advogado, coordenador de projetos – Centro de Estudos das Relações de Trabalho e Desigualdades (CEERT) </w:t>
      </w:r>
    </w:p>
    <w:p>
      <w:pPr>
        <w:pStyle w:val="style0"/>
        <w:spacing w:after="65" w:before="0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6"/>
        <w:numPr>
          <w:ilvl w:val="5"/>
          <w:numId w:val="1"/>
        </w:numPr>
        <w:jc w:val="both"/>
      </w:pPr>
      <w:r>
        <w:rPr>
          <w:rFonts w:ascii="Arial" w:cs="Arial" w:hAnsi="Arial"/>
          <w:b w:val="false"/>
          <w:i w:val="false"/>
          <w:sz w:val="24"/>
        </w:rPr>
        <w:t xml:space="preserve">Psic. Shirley Santos – </w:t>
      </w:r>
      <w:r>
        <w:rPr>
          <w:rFonts w:ascii="Arial" w:cs="Arial" w:hAnsi="Arial"/>
          <w:b w:val="false"/>
          <w:bCs w:val="false"/>
          <w:i w:val="false"/>
          <w:sz w:val="24"/>
        </w:rPr>
        <w:t>Psicóloga, gestora de pr</w:t>
      </w:r>
      <w:r>
        <w:rPr>
          <w:rFonts w:ascii="Arial" w:cs="Arial" w:hAnsi="Arial"/>
          <w:b w:val="false"/>
          <w:bCs w:val="false"/>
          <w:i w:val="false"/>
          <w:iCs w:val="false"/>
          <w:sz w:val="24"/>
        </w:rPr>
        <w:t>ojetos do Centro de Estudos das Relações de Trabalho e Desigualdades (CEERT)</w:t>
      </w:r>
    </w:p>
    <w:p>
      <w:pPr>
        <w:pStyle w:val="style0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color w:val="000000"/>
          <w:sz w:val="24"/>
          <w:szCs w:val="24"/>
          <w:lang w:eastAsia="pt-BR"/>
        </w:rPr>
        <w:t>Plenária</w:t>
      </w:r>
    </w:p>
    <w:p>
      <w:pPr>
        <w:pStyle w:val="style0"/>
        <w:shd w:fill="D9D9D9" w:val="clear"/>
        <w:spacing w:after="28" w:before="28" w:line="100" w:lineRule="atLeast"/>
        <w:contextualSpacing w:val="false"/>
      </w:pPr>
      <w:r>
        <w:rPr>
          <w:rFonts w:ascii="Arial" w:cs="Arial" w:eastAsia="Times New Roman" w:hAnsi="Arial"/>
          <w:b/>
          <w:sz w:val="24"/>
          <w:szCs w:val="24"/>
          <w:lang w:eastAsia="pt-BR"/>
        </w:rPr>
        <w:t>Encerramento</w:t>
      </w:r>
    </w:p>
    <w:sectPr>
      <w:headerReference r:id="rId2" w:type="default"/>
      <w:footerReference r:id="rId3" w:type="default"/>
      <w:type w:val="nextPage"/>
      <w:pgSz w:h="16838" w:w="11906"/>
      <w:pgMar w:bottom="1134" w:footer="708" w:gutter="0" w:header="708" w:left="1701" w:right="1701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9"/>
      <w:jc w:val="center"/>
    </w:pPr>
    <w:r>
      <w:rPr>
        <w:rFonts w:ascii="Arial" w:hAnsi="Arial"/>
        <w:sz w:val="18"/>
      </w:rPr>
    </w:r>
  </w:p>
  <w:p>
    <w:pPr>
      <w:pStyle w:val="style39"/>
      <w:jc w:val="center"/>
    </w:pPr>
    <w:r>
      <w:rPr>
        <w:rFonts w:ascii="Arial" w:hAnsi="Arial"/>
        <w:sz w:val="18"/>
      </w:rPr>
      <w:t xml:space="preserve">Rua Duarte de Azevedo, 737  Santana 02036-022  São Paulo / SP  Tel  (11) 3804-0320 </w:t>
    </w:r>
    <w:hyperlink r:id="rId1">
      <w:r>
        <w:rPr>
          <w:rStyle w:val="style25"/>
          <w:sz w:val="18"/>
          <w:szCs w:val="18"/>
        </w:rPr>
        <w:t>www.ceert.org.br/crianca-adolescente/</w:t>
      </w:r>
    </w:hyperlink>
    <w:r>
      <w:rPr>
        <w:sz w:val="18"/>
        <w:szCs w:val="18"/>
      </w:rPr>
      <w:t xml:space="preserve">  Email: </w:t>
    </w:r>
    <w:hyperlink r:id="rId2">
      <w:r>
        <w:rPr>
          <w:rStyle w:val="style25"/>
          <w:sz w:val="18"/>
          <w:szCs w:val="18"/>
        </w:rPr>
        <w:t>ceert@terra.com.br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  <w:jc w:val="center"/>
    </w:pPr>
    <w:r>
      <w:rPr/>
      <w:drawing>
        <wp:inline distB="0" distL="0" distR="0" distT="0">
          <wp:extent cx="1543050" cy="668655"/>
          <wp:effectExtent b="0" l="0" r="0" t="0"/>
          <wp:docPr descr="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68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35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8"/>
</w:setting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pt-BR"/>
    </w:rPr>
  </w:style>
  <w:style w:styleId="style2" w:type="paragraph">
    <w:name w:val="Título 2"/>
    <w:basedOn w:val="style0"/>
    <w:next w:val="style29"/>
    <w:pPr>
      <w:keepNext/>
      <w:keepLines/>
      <w:numPr>
        <w:ilvl w:val="1"/>
        <w:numId w:val="1"/>
      </w:numPr>
      <w:spacing w:after="0" w:before="40"/>
      <w:contextualSpacing w:val="false"/>
      <w:outlineLvl w:val="1"/>
    </w:pPr>
    <w:rPr>
      <w:rFonts w:ascii="Calibri Light" w:cs="" w:hAnsi="Calibri Light"/>
      <w:color w:val="2E74B5"/>
      <w:sz w:val="26"/>
      <w:szCs w:val="26"/>
    </w:rPr>
  </w:style>
  <w:style w:styleId="style6" w:type="paragraph">
    <w:name w:val="Título 6"/>
    <w:basedOn w:val="style0"/>
    <w:next w:val="style29"/>
    <w:pPr>
      <w:keepNext/>
      <w:numPr>
        <w:ilvl w:val="5"/>
        <w:numId w:val="1"/>
      </w:numPr>
      <w:spacing w:after="0" w:before="0" w:line="100" w:lineRule="atLeast"/>
      <w:contextualSpacing w:val="false"/>
      <w:jc w:val="center"/>
      <w:outlineLvl w:val="5"/>
    </w:pPr>
    <w:rPr>
      <w:rFonts w:ascii="Times New Roman" w:cs="Tahoma" w:eastAsia="Times New Roman" w:hAnsi="Times New Roman"/>
      <w:b/>
      <w:bCs/>
      <w:i/>
      <w:iCs/>
      <w:sz w:val="28"/>
      <w:szCs w:val="24"/>
      <w:lang w:eastAsia="pt-BR"/>
    </w:rPr>
  </w:style>
  <w:style w:styleId="style15" w:type="character">
    <w:name w:val="Default Paragraph Font"/>
    <w:next w:val="style15"/>
    <w:rPr/>
  </w:style>
  <w:style w:styleId="style16" w:type="character">
    <w:name w:val="Texto de balão Char"/>
    <w:basedOn w:val="style15"/>
    <w:next w:val="style16"/>
    <w:rPr>
      <w:rFonts w:ascii="Segoe UI" w:cs="Segoe UI" w:hAnsi="Segoe UI"/>
      <w:sz w:val="18"/>
      <w:szCs w:val="18"/>
    </w:rPr>
  </w:style>
  <w:style w:styleId="style17" w:type="character">
    <w:name w:val="Ênfase"/>
    <w:basedOn w:val="style15"/>
    <w:next w:val="style17"/>
    <w:rPr>
      <w:i/>
      <w:iCs/>
    </w:rPr>
  </w:style>
  <w:style w:styleId="style18" w:type="character">
    <w:name w:val="apple-converted-space"/>
    <w:basedOn w:val="style15"/>
    <w:next w:val="style18"/>
    <w:rPr/>
  </w:style>
  <w:style w:styleId="style19" w:type="character">
    <w:name w:val="texto"/>
    <w:basedOn w:val="style15"/>
    <w:next w:val="style19"/>
    <w:rPr/>
  </w:style>
  <w:style w:styleId="style20" w:type="character">
    <w:name w:val="Título 6 Char"/>
    <w:basedOn w:val="style15"/>
    <w:next w:val="style20"/>
    <w:rPr>
      <w:rFonts w:ascii="Times New Roman" w:cs="Tahoma" w:eastAsia="Times New Roman" w:hAnsi="Times New Roman"/>
      <w:b/>
      <w:bCs/>
      <w:i/>
      <w:iCs/>
      <w:sz w:val="28"/>
      <w:szCs w:val="24"/>
      <w:lang w:eastAsia="pt-BR"/>
    </w:rPr>
  </w:style>
  <w:style w:styleId="style21" w:type="character">
    <w:name w:val="Cabeçalho Char"/>
    <w:basedOn w:val="style15"/>
    <w:next w:val="style21"/>
    <w:rPr>
      <w:rFonts w:ascii="Times New Roman" w:cs="Times New Roman" w:eastAsia="Times New Roman" w:hAnsi="Times New Roman"/>
      <w:sz w:val="24"/>
      <w:szCs w:val="24"/>
      <w:lang w:eastAsia="pt-BR"/>
    </w:rPr>
  </w:style>
  <w:style w:styleId="style22" w:type="character">
    <w:name w:val="Título 2 Char"/>
    <w:basedOn w:val="style15"/>
    <w:next w:val="style22"/>
    <w:rPr>
      <w:rFonts w:ascii="Calibri Light" w:cs="" w:hAnsi="Calibri Light"/>
      <w:color w:val="2E74B5"/>
      <w:sz w:val="26"/>
      <w:szCs w:val="26"/>
    </w:rPr>
  </w:style>
  <w:style w:styleId="style23" w:type="character">
    <w:name w:val="Texto sem Formatação Char"/>
    <w:basedOn w:val="style15"/>
    <w:next w:val="style23"/>
    <w:rPr>
      <w:rFonts w:ascii="Calibri" w:hAnsi="Calibri"/>
      <w:sz w:val="21"/>
      <w:szCs w:val="21"/>
    </w:rPr>
  </w:style>
  <w:style w:styleId="style24" w:type="character">
    <w:name w:val="Rodapé Char"/>
    <w:basedOn w:val="style15"/>
    <w:next w:val="style24"/>
    <w:rPr/>
  </w:style>
  <w:style w:styleId="style25" w:type="character">
    <w:name w:val="Link da Internet"/>
    <w:next w:val="style25"/>
    <w:rPr>
      <w:color w:val="0000FF"/>
      <w:u w:val="single"/>
      <w:lang w:bidi="pt-BR" w:eastAsia="pt-BR" w:val="pt-BR"/>
    </w:rPr>
  </w:style>
  <w:style w:styleId="style26" w:type="character">
    <w:name w:val="Pré-formatação HTML Char"/>
    <w:basedOn w:val="style15"/>
    <w:next w:val="style26"/>
    <w:rPr>
      <w:rFonts w:ascii="Courier New" w:cs="Courier New" w:hAnsi="Courier New"/>
      <w:sz w:val="20"/>
      <w:szCs w:val="20"/>
      <w:lang w:eastAsia="pt-BR"/>
    </w:rPr>
  </w:style>
  <w:style w:styleId="style27" w:type="character">
    <w:name w:val="ListLabel 1"/>
    <w:next w:val="style27"/>
    <w:rPr>
      <w:rFonts w:cs="Courier New"/>
    </w:rPr>
  </w:style>
  <w:style w:styleId="style28" w:type="paragraph">
    <w:name w:val="Título"/>
    <w:basedOn w:val="style0"/>
    <w:next w:val="style2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9" w:type="paragraph">
    <w:name w:val="Corpo de texto"/>
    <w:basedOn w:val="style0"/>
    <w:next w:val="style29"/>
    <w:pPr>
      <w:spacing w:after="120" w:before="0"/>
      <w:contextualSpacing w:val="false"/>
    </w:pPr>
    <w:rPr/>
  </w:style>
  <w:style w:styleId="style30" w:type="paragraph">
    <w:name w:val="Lista"/>
    <w:basedOn w:val="style29"/>
    <w:next w:val="style30"/>
    <w:pPr/>
    <w:rPr>
      <w:rFonts w:cs="Mangal"/>
    </w:rPr>
  </w:style>
  <w:style w:styleId="style31" w:type="paragraph">
    <w:name w:val="Legenda"/>
    <w:basedOn w:val="style0"/>
    <w:next w:val="style3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2" w:type="paragraph">
    <w:name w:val="Índice"/>
    <w:basedOn w:val="style0"/>
    <w:next w:val="style32"/>
    <w:pPr>
      <w:suppressLineNumbers/>
    </w:pPr>
    <w:rPr>
      <w:rFonts w:cs="Mangal"/>
    </w:rPr>
  </w:style>
  <w:style w:styleId="style33" w:type="paragraph">
    <w:name w:val="Balloon Text"/>
    <w:basedOn w:val="style0"/>
    <w:next w:val="style33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  <w:style w:styleId="style34" w:type="paragraph">
    <w:name w:val="List Paragraph"/>
    <w:basedOn w:val="style0"/>
    <w:next w:val="style34"/>
    <w:pPr>
      <w:spacing w:after="160" w:before="0"/>
      <w:ind w:hanging="0" w:left="720" w:right="0"/>
      <w:contextualSpacing/>
    </w:pPr>
    <w:rPr/>
  </w:style>
  <w:style w:styleId="style35" w:type="paragraph">
    <w:name w:val="Cabeçalho"/>
    <w:basedOn w:val="style0"/>
    <w:next w:val="style35"/>
    <w:pPr>
      <w:suppressLineNumbers/>
      <w:tabs>
        <w:tab w:leader="none" w:pos="4252" w:val="center"/>
        <w:tab w:leader="none" w:pos="8504" w:val="right"/>
      </w:tabs>
      <w:spacing w:after="0" w:before="0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pt-BR"/>
    </w:rPr>
  </w:style>
  <w:style w:styleId="style36" w:type="paragraph">
    <w:name w:val="Normal"/>
    <w:next w:val="style36"/>
    <w:pPr>
      <w:widowControl/>
      <w:tabs/>
      <w:suppressAutoHyphens w:val="true"/>
      <w:spacing w:after="0" w:before="0" w:line="100" w:lineRule="atLeast"/>
      <w:contextualSpacing w:val="false"/>
    </w:pPr>
    <w:rPr>
      <w:rFonts w:ascii="Arial" w:cs="Arial" w:eastAsia="SimSun" w:hAnsi="Arial"/>
      <w:color w:val="000000"/>
      <w:sz w:val="24"/>
      <w:szCs w:val="24"/>
      <w:lang w:bidi="ar-SA" w:eastAsia="en-US" w:val="pt-BR"/>
    </w:rPr>
  </w:style>
  <w:style w:styleId="style37" w:type="paragraph">
    <w:name w:val="Normal (Web)"/>
    <w:basedOn w:val="style0"/>
    <w:next w:val="style37"/>
    <w:pPr>
      <w:spacing w:after="28" w:before="28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pt-BR"/>
    </w:rPr>
  </w:style>
  <w:style w:styleId="style38" w:type="paragraph">
    <w:name w:val="Plain Text"/>
    <w:basedOn w:val="style0"/>
    <w:next w:val="style38"/>
    <w:pPr>
      <w:spacing w:after="0" w:before="0" w:line="100" w:lineRule="atLeast"/>
      <w:contextualSpacing w:val="false"/>
    </w:pPr>
    <w:rPr>
      <w:rFonts w:ascii="Calibri" w:hAnsi="Calibri"/>
      <w:sz w:val="21"/>
      <w:szCs w:val="21"/>
    </w:rPr>
  </w:style>
  <w:style w:styleId="style39" w:type="paragraph">
    <w:name w:val="Rodapé"/>
    <w:basedOn w:val="style0"/>
    <w:next w:val="style39"/>
    <w:pPr>
      <w:suppressLineNumbers/>
      <w:tabs>
        <w:tab w:leader="none" w:pos="4252" w:val="center"/>
        <w:tab w:leader="none" w:pos="8504" w:val="right"/>
      </w:tabs>
      <w:spacing w:after="0" w:before="0" w:line="100" w:lineRule="atLeast"/>
      <w:contextualSpacing w:val="false"/>
    </w:pPr>
    <w:rPr/>
  </w:style>
  <w:style w:styleId="style40" w:type="paragraph">
    <w:name w:val="HTML Preformatted"/>
    <w:basedOn w:val="style0"/>
    <w:next w:val="style40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before="0" w:line="100" w:lineRule="atLeast"/>
      <w:contextualSpacing w:val="false"/>
    </w:pPr>
    <w:rPr>
      <w:rFonts w:ascii="Courier New" w:cs="Courier New" w:hAnsi="Courier New"/>
      <w:sz w:val="20"/>
      <w:szCs w:val="20"/>
      <w:lang w:eastAsia="pt-B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ceert.org.br/crianca-adolescente/" TargetMode="External"/><Relationship Id="rId2" Type="http://schemas.openxmlformats.org/officeDocument/2006/relationships/hyperlink" Target="mailto:ceert@terra.com.br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2015-07-08T14:12:00.00Z</dcterms:created>
  <dc:creator>Desktop</dc:creator>
  <cp:lastModifiedBy>Desktop</cp:lastModifiedBy>
  <cp:lastPrinted>2015-07-23T15:18:00.00Z</cp:lastPrinted>
  <dcterms:modified xsi:type="dcterms:W3CDTF">2015-07-23T17:27:00.00Z</dcterms:modified>
  <cp:revision>39</cp:revision>
</cp:coreProperties>
</file>